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2B6E14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DC395B" w:rsidRDefault="00DC395B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C395B" w:rsidRDefault="00DC395B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Черновка</w:t>
                  </w:r>
                </w:p>
                <w:p w:rsidR="00DC395B" w:rsidRDefault="00DC395B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DC395B" w:rsidRDefault="00DC395B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DC395B" w:rsidRDefault="00DC395B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C395B" w:rsidRPr="008345B4" w:rsidRDefault="00DC395B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Pr="008345B4">
                    <w:rPr>
                      <w:sz w:val="28"/>
                      <w:szCs w:val="28"/>
                    </w:rPr>
                    <w:t>__ » _______ 2015 г.</w:t>
                  </w:r>
                </w:p>
                <w:p w:rsidR="00DC395B" w:rsidRDefault="00DC395B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8345B4">
                    <w:rPr>
                      <w:sz w:val="28"/>
                      <w:szCs w:val="28"/>
                    </w:rPr>
                    <w:t>№ _____</w:t>
                  </w:r>
                </w:p>
                <w:p w:rsidR="00DC395B" w:rsidRDefault="00DC395B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DC395B" w:rsidRDefault="00DC395B" w:rsidP="00792836"/>
                <w:p w:rsidR="00DC395B" w:rsidRDefault="00DC395B" w:rsidP="00792836"/>
                <w:p w:rsidR="00DC395B" w:rsidRDefault="00DC395B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8345B4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C395B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DC395B">
        <w:rPr>
          <w:b/>
          <w:sz w:val="28"/>
          <w:szCs w:val="28"/>
        </w:rPr>
        <w:t>Черновка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DC395B">
        <w:rPr>
          <w:sz w:val="28"/>
          <w:szCs w:val="28"/>
        </w:rPr>
        <w:t xml:space="preserve">Черновка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DC395B">
        <w:rPr>
          <w:sz w:val="28"/>
          <w:szCs w:val="28"/>
        </w:rPr>
        <w:t>25</w:t>
      </w:r>
      <w:r w:rsidR="00D07BD3" w:rsidRPr="00120E8A">
        <w:rPr>
          <w:sz w:val="28"/>
          <w:szCs w:val="28"/>
        </w:rPr>
        <w:t xml:space="preserve"> от</w:t>
      </w:r>
      <w:r w:rsidR="00DC395B">
        <w:rPr>
          <w:sz w:val="28"/>
          <w:szCs w:val="28"/>
        </w:rPr>
        <w:t xml:space="preserve"> 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DC395B">
        <w:rPr>
          <w:sz w:val="28"/>
          <w:szCs w:val="28"/>
        </w:rPr>
        <w:t>Черновка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DC395B">
        <w:rPr>
          <w:sz w:val="28"/>
          <w:szCs w:val="28"/>
        </w:rPr>
        <w:t>Черновка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A00EA6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DC395B">
        <w:rPr>
          <w:sz w:val="28"/>
          <w:szCs w:val="28"/>
        </w:rPr>
        <w:t>Черновка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</w:t>
      </w:r>
      <w:r w:rsidR="00DC395B">
        <w:rPr>
          <w:sz w:val="28"/>
          <w:szCs w:val="28"/>
        </w:rPr>
        <w:t xml:space="preserve">                         </w:t>
      </w:r>
      <w:r w:rsidRPr="00120E8A">
        <w:rPr>
          <w:sz w:val="28"/>
          <w:szCs w:val="28"/>
        </w:rPr>
        <w:t xml:space="preserve">   </w:t>
      </w:r>
      <w:proofErr w:type="spellStart"/>
      <w:r w:rsidR="00DC395B">
        <w:rPr>
          <w:sz w:val="28"/>
          <w:szCs w:val="28"/>
        </w:rPr>
        <w:t>А.В.Беляев</w:t>
      </w:r>
      <w:proofErr w:type="spellEnd"/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DC395B" w:rsidRDefault="00004D37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>ьского  поселения</w:t>
      </w:r>
      <w:r w:rsidR="00DC395B">
        <w:rPr>
          <w:spacing w:val="7"/>
          <w:sz w:val="28"/>
          <w:szCs w:val="28"/>
        </w:rPr>
        <w:t xml:space="preserve"> Черновка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DC395B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8345B4">
        <w:rPr>
          <w:sz w:val="28"/>
          <w:szCs w:val="28"/>
        </w:rPr>
        <w:t>№</w:t>
      </w:r>
      <w:r w:rsidR="00D07BD3" w:rsidRPr="008345B4">
        <w:rPr>
          <w:sz w:val="28"/>
          <w:szCs w:val="28"/>
        </w:rPr>
        <w:t>____ от ______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DC395B">
        <w:rPr>
          <w:sz w:val="28"/>
          <w:szCs w:val="28"/>
        </w:rPr>
        <w:t xml:space="preserve"> Черновка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DC395B">
        <w:rPr>
          <w:sz w:val="28"/>
          <w:szCs w:val="28"/>
        </w:rPr>
        <w:t>Черновка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2B6E1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DC395B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DC395B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8345B4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2B6E1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DC395B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DC395B">
        <w:rPr>
          <w:sz w:val="28"/>
          <w:szCs w:val="28"/>
        </w:rPr>
        <w:t>Черновка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834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DC395B">
        <w:rPr>
          <w:sz w:val="28"/>
          <w:szCs w:val="28"/>
        </w:rPr>
        <w:t xml:space="preserve">: Самарская область, Сергиевский район, </w:t>
      </w:r>
      <w:proofErr w:type="spellStart"/>
      <w:r w:rsidR="00DC395B">
        <w:rPr>
          <w:sz w:val="28"/>
          <w:szCs w:val="28"/>
        </w:rPr>
        <w:t>с</w:t>
      </w:r>
      <w:proofErr w:type="gramStart"/>
      <w:r w:rsidR="00DC395B">
        <w:rPr>
          <w:sz w:val="28"/>
          <w:szCs w:val="28"/>
        </w:rPr>
        <w:t>.Ч</w:t>
      </w:r>
      <w:proofErr w:type="gramEnd"/>
      <w:r w:rsidR="00DC395B">
        <w:rPr>
          <w:sz w:val="28"/>
          <w:szCs w:val="28"/>
        </w:rPr>
        <w:t>ерновка</w:t>
      </w:r>
      <w:proofErr w:type="spellEnd"/>
      <w:r w:rsidR="00DC395B">
        <w:rPr>
          <w:sz w:val="28"/>
          <w:szCs w:val="28"/>
        </w:rPr>
        <w:t>,</w:t>
      </w:r>
      <w:r w:rsidR="008345B4">
        <w:rPr>
          <w:sz w:val="28"/>
          <w:szCs w:val="28"/>
        </w:rPr>
        <w:t xml:space="preserve"> </w:t>
      </w:r>
      <w:r w:rsidR="00DC395B">
        <w:rPr>
          <w:sz w:val="28"/>
          <w:szCs w:val="28"/>
        </w:rPr>
        <w:t>ул.Новостроевская,10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834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DC395B">
        <w:rPr>
          <w:sz w:val="28"/>
          <w:szCs w:val="28"/>
        </w:rPr>
        <w:t xml:space="preserve">446543. Самарская область, </w:t>
      </w:r>
      <w:r w:rsidR="008345B4">
        <w:rPr>
          <w:sz w:val="28"/>
          <w:szCs w:val="28"/>
        </w:rPr>
        <w:t xml:space="preserve"> </w:t>
      </w:r>
      <w:r w:rsidR="00DC395B">
        <w:rPr>
          <w:sz w:val="28"/>
          <w:szCs w:val="28"/>
        </w:rPr>
        <w:t xml:space="preserve">Сергиевский район, </w:t>
      </w:r>
      <w:proofErr w:type="spellStart"/>
      <w:r w:rsidR="00DC395B">
        <w:rPr>
          <w:sz w:val="28"/>
          <w:szCs w:val="28"/>
        </w:rPr>
        <w:t>с</w:t>
      </w:r>
      <w:proofErr w:type="gramStart"/>
      <w:r w:rsidR="00DC395B">
        <w:rPr>
          <w:sz w:val="28"/>
          <w:szCs w:val="28"/>
        </w:rPr>
        <w:t>.Ч</w:t>
      </w:r>
      <w:proofErr w:type="gramEnd"/>
      <w:r w:rsidR="00DC395B">
        <w:rPr>
          <w:sz w:val="28"/>
          <w:szCs w:val="28"/>
        </w:rPr>
        <w:t>ерновка</w:t>
      </w:r>
      <w:proofErr w:type="spellEnd"/>
      <w:r w:rsidR="00E45DA5">
        <w:rPr>
          <w:sz w:val="28"/>
          <w:szCs w:val="28"/>
        </w:rPr>
        <w:t>, ул.Новостроевская,10;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 w:rsidR="00A83624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 xml:space="preserve">Черновка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8345B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>Администрации сельского поселения</w:t>
      </w:r>
      <w:r w:rsidR="00E45DA5">
        <w:rPr>
          <w:sz w:val="28"/>
          <w:szCs w:val="28"/>
        </w:rPr>
        <w:t xml:space="preserve"> Черновка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A00EA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ерновка</w:t>
            </w:r>
            <w:proofErr w:type="spellEnd"/>
            <w:r>
              <w:rPr>
                <w:sz w:val="28"/>
                <w:szCs w:val="28"/>
              </w:rPr>
              <w:t>, ул.Новостроевская,10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A00EA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446543,Самарская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ерновка</w:t>
            </w:r>
            <w:proofErr w:type="spellEnd"/>
            <w:r>
              <w:rPr>
                <w:sz w:val="28"/>
                <w:szCs w:val="28"/>
              </w:rPr>
              <w:t>, ул.Новостроевская,10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A00EA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 час.; с 12-00 до 13-00 час.- обед; суббота, воскресень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выходной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A00EA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8(846)5551137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A00EA6" w:rsidRDefault="006C527B" w:rsidP="00A00E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C527B">
              <w:rPr>
                <w:sz w:val="28"/>
                <w:szCs w:val="28"/>
                <w:lang w:val="en-US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C527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ASPCH@yandex.ru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EB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 Черновк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Беляев Андрей  Валентинович;</w:t>
            </w:r>
          </w:p>
          <w:p w:rsidR="007060EB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Простова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sz w:val="28"/>
                <w:szCs w:val="28"/>
              </w:rPr>
              <w:t>Рафаэльевна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261A3" w:rsidRPr="00120E8A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Фадеева Ольга Николаевна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7060EB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ерновка</w:t>
            </w:r>
            <w:proofErr w:type="spellEnd"/>
            <w:r>
              <w:rPr>
                <w:sz w:val="28"/>
                <w:szCs w:val="28"/>
              </w:rPr>
              <w:t>, ул.Новостроевская,10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7060EB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7060EB" w:rsidP="00706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 час.; с 12-00 до 13-00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бед; 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7060EB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 Черновк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Беляев Андрей  Валентинович;</w:t>
            </w:r>
          </w:p>
          <w:p w:rsidR="007060EB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Простова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sz w:val="28"/>
                <w:szCs w:val="28"/>
              </w:rPr>
              <w:t>Рафаэльевна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261A3" w:rsidRPr="00120E8A" w:rsidRDefault="007060EB" w:rsidP="00706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Фадеева Ольга Николаевна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5B4" w:rsidRPr="00120E8A" w:rsidRDefault="008345B4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2B6E14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DC395B" w:rsidRPr="00F23F43" w:rsidRDefault="00DC395B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2B6E14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DC395B" w:rsidRPr="004A3DC8" w:rsidRDefault="00DC395B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DC395B" w:rsidRDefault="00DC395B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DC395B" w:rsidRPr="006449CB" w:rsidRDefault="00DC395B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DC395B" w:rsidRDefault="00DC395B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DC395B" w:rsidRPr="00130334" w:rsidRDefault="00DC395B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DC395B" w:rsidRPr="006070AE" w:rsidRDefault="00DC395B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DC395B" w:rsidRPr="00BC56BD" w:rsidRDefault="00DC395B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DC395B" w:rsidRPr="00BC56BD" w:rsidRDefault="00DC395B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DC395B" w:rsidRPr="00BC56BD" w:rsidRDefault="00DC395B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DC395B" w:rsidRPr="00BC56BD" w:rsidRDefault="00DC395B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7060EB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DC395B" w:rsidRPr="00D77CE1" w:rsidRDefault="00DC395B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DC395B" w:rsidRDefault="00DC395B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DC395B" w:rsidRPr="00BC56BD" w:rsidRDefault="00DC395B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DC395B" w:rsidRDefault="00DC395B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DC395B" w:rsidRPr="00BC56BD" w:rsidRDefault="00DC395B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14" w:rsidRDefault="002B6E14" w:rsidP="00A61016">
      <w:r>
        <w:separator/>
      </w:r>
    </w:p>
  </w:endnote>
  <w:endnote w:type="continuationSeparator" w:id="0">
    <w:p w:rsidR="002B6E14" w:rsidRDefault="002B6E1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14" w:rsidRDefault="002B6E14" w:rsidP="00A61016">
      <w:r>
        <w:separator/>
      </w:r>
    </w:p>
  </w:footnote>
  <w:footnote w:type="continuationSeparator" w:id="0">
    <w:p w:rsidR="002B6E14" w:rsidRDefault="002B6E1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C7931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B6E14"/>
    <w:rsid w:val="002C0F02"/>
    <w:rsid w:val="002C1758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32BE"/>
    <w:rsid w:val="003E5C36"/>
    <w:rsid w:val="003E6610"/>
    <w:rsid w:val="003E6CE3"/>
    <w:rsid w:val="003E7272"/>
    <w:rsid w:val="003F1209"/>
    <w:rsid w:val="00406AF6"/>
    <w:rsid w:val="00407D27"/>
    <w:rsid w:val="004126F1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0692A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C527B"/>
    <w:rsid w:val="006D0743"/>
    <w:rsid w:val="006D1C23"/>
    <w:rsid w:val="006E29CF"/>
    <w:rsid w:val="006F0299"/>
    <w:rsid w:val="006F480A"/>
    <w:rsid w:val="007060EB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345B4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0EA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3624"/>
    <w:rsid w:val="00A8407A"/>
    <w:rsid w:val="00A92003"/>
    <w:rsid w:val="00A94E03"/>
    <w:rsid w:val="00A9523A"/>
    <w:rsid w:val="00AA17C6"/>
    <w:rsid w:val="00AA47BE"/>
    <w:rsid w:val="00AA6E7B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B76B8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87901"/>
    <w:rsid w:val="00D92B9E"/>
    <w:rsid w:val="00DA19EF"/>
    <w:rsid w:val="00DA1F4F"/>
    <w:rsid w:val="00DA3161"/>
    <w:rsid w:val="00DA776A"/>
    <w:rsid w:val="00DB5607"/>
    <w:rsid w:val="00DC0566"/>
    <w:rsid w:val="00DC395B"/>
    <w:rsid w:val="00DD200D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45DA5"/>
    <w:rsid w:val="00E5457B"/>
    <w:rsid w:val="00E5509B"/>
    <w:rsid w:val="00E557F1"/>
    <w:rsid w:val="00E6457C"/>
    <w:rsid w:val="00E65084"/>
    <w:rsid w:val="00E6679A"/>
    <w:rsid w:val="00E76869"/>
    <w:rsid w:val="00E827E1"/>
    <w:rsid w:val="00E86790"/>
    <w:rsid w:val="00E86ED2"/>
    <w:rsid w:val="00E91B27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3"/>
        <o:r id="V:Rule3" type="connector" idref="#Прямая со стрелкой 19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F074-18F4-4198-AAF3-22F2BDAA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8705</Words>
  <Characters>49624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2014-06-16T07:18:00Z</cp:lastPrinted>
  <dcterms:created xsi:type="dcterms:W3CDTF">2015-10-26T10:17:00Z</dcterms:created>
  <dcterms:modified xsi:type="dcterms:W3CDTF">2015-11-13T11:27:00Z</dcterms:modified>
</cp:coreProperties>
</file>